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972601" w:rsidP="006E6B86">
            <w:r>
              <w:t>C</w:t>
            </w:r>
            <w:r w:rsidR="00146451">
              <w:t>PL(H) 9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401E05" w:rsidP="00CE4AF5">
            <w:pPr>
              <w:pStyle w:val="tablebullet1"/>
            </w:pPr>
            <w:r>
              <w:t>Conduct Maximum Performance Take Offs</w:t>
            </w:r>
          </w:p>
          <w:p w:rsidR="00401E05" w:rsidRDefault="00401E05" w:rsidP="00CE4AF5">
            <w:pPr>
              <w:pStyle w:val="tablebullet1"/>
            </w:pPr>
            <w:r>
              <w:t>Conduct Steep Approaches</w:t>
            </w:r>
          </w:p>
          <w:p w:rsidR="00667595" w:rsidRDefault="00A23028" w:rsidP="003107CA">
            <w:pPr>
              <w:pStyle w:val="tablebullet1"/>
            </w:pPr>
            <w:r>
              <w:t>Introduction to Air Transit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8E7C43" w:rsidRPr="008462C8" w:rsidRDefault="008E7C43" w:rsidP="008E7C43">
            <w:r w:rsidRPr="008462C8">
              <w:t>PRE-FLIGHT KNOWLEDGE</w:t>
            </w:r>
          </w:p>
          <w:p w:rsidR="008E7C43" w:rsidRPr="008462C8" w:rsidRDefault="008E7C43" w:rsidP="008E7C43">
            <w:r w:rsidRPr="008462C8">
              <w:t xml:space="preserve">Long Briefing: </w:t>
            </w:r>
            <w:r>
              <w:t>1.0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8E7C43" w:rsidP="008E7C43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401E05">
              <w:t>Max Perf</w:t>
            </w:r>
            <w:r w:rsidR="00CE6E98">
              <w:t xml:space="preserve">ormance </w:t>
            </w:r>
            <w:r w:rsidR="00401E05">
              <w:t>/ Steep Appr</w:t>
            </w:r>
            <w:r w:rsidR="00CE6E98">
              <w:t>oach</w:t>
            </w:r>
          </w:p>
          <w:p w:rsidR="00C259D4" w:rsidRDefault="00046CCD" w:rsidP="00C259D4">
            <w:pPr>
              <w:pStyle w:val="tablebullet1"/>
            </w:pPr>
            <w:r>
              <w:t>Power management t</w:t>
            </w:r>
            <w:r w:rsidR="00401E05">
              <w:t>echniques</w:t>
            </w:r>
            <w:r>
              <w:t xml:space="preserve"> on take off</w:t>
            </w:r>
          </w:p>
          <w:p w:rsidR="00405B22" w:rsidRDefault="00405B22" w:rsidP="00C259D4">
            <w:pPr>
              <w:pStyle w:val="tablebullet1"/>
            </w:pPr>
            <w:r>
              <w:t>Overpitchi</w:t>
            </w:r>
            <w:r w:rsidR="00046CCD">
              <w:t>ng prevention/ Low RPM recovery</w:t>
            </w:r>
          </w:p>
          <w:p w:rsidR="00401E05" w:rsidRDefault="00046CCD" w:rsidP="00C259D4">
            <w:pPr>
              <w:pStyle w:val="tablebullet1"/>
            </w:pPr>
            <w:r>
              <w:t>Sight picture technique on a</w:t>
            </w:r>
            <w:r w:rsidR="00405B22">
              <w:t>pproach</w:t>
            </w:r>
          </w:p>
          <w:p w:rsidR="00405B22" w:rsidRDefault="00405B22" w:rsidP="00C259D4">
            <w:pPr>
              <w:pStyle w:val="tablebullet1"/>
            </w:pPr>
            <w:r>
              <w:t>VRS avoidance</w:t>
            </w:r>
          </w:p>
          <w:p w:rsidR="00405B22" w:rsidRPr="008462C8" w:rsidRDefault="00046CCD" w:rsidP="00C259D4">
            <w:pPr>
              <w:pStyle w:val="tablebullet1"/>
            </w:pPr>
            <w:r>
              <w:t>Air t</w:t>
            </w:r>
            <w:r w:rsidR="00405B22">
              <w:t>ransit</w:t>
            </w:r>
            <w:r>
              <w:t xml:space="preserve"> p</w:t>
            </w:r>
            <w:r w:rsidR="00A23028">
              <w:t>r</w:t>
            </w:r>
            <w:r>
              <w:t>ocedures and regulations at an a</w:t>
            </w:r>
            <w:r w:rsidR="00A23028">
              <w:t>erodrome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A23028" w:rsidP="00667DBF">
            <w:pPr>
              <w:pStyle w:val="tablebullet1"/>
            </w:pPr>
            <w:r>
              <w:t>Review/expand previously introduced knowledge as required</w:t>
            </w:r>
          </w:p>
          <w:p w:rsidR="00CE6E98" w:rsidRPr="008462C8" w:rsidRDefault="00F2062E" w:rsidP="00CE6E98">
            <w:pPr>
              <w:pStyle w:val="tablebullet1"/>
            </w:pPr>
            <w:r>
              <w:rPr>
                <w:rFonts w:eastAsiaTheme="minorHAnsi" w:hAnsiTheme="minorHAnsi"/>
                <w:bCs/>
              </w:rPr>
              <w:t>H</w:t>
            </w:r>
            <w:r w:rsidR="00667DBF" w:rsidRPr="00CA44DB">
              <w:rPr>
                <w:rFonts w:eastAsiaTheme="minorHAnsi" w:hAnsiTheme="minorHAnsi"/>
                <w:bCs/>
              </w:rPr>
              <w:t>elicopter performance limitations</w:t>
            </w:r>
            <w:r w:rsidR="00667DBF">
              <w:rPr>
                <w:rFonts w:eastAsiaTheme="minorHAnsi" w:hAnsiTheme="minorHAnsi"/>
                <w:bCs/>
              </w:rPr>
              <w:t xml:space="preserve"> [H6(c)]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CE6E98" w:rsidRDefault="00F2062E" w:rsidP="00CE6E98">
            <w:pPr>
              <w:pStyle w:val="tablebullet1"/>
            </w:pPr>
            <w:r>
              <w:t>T</w:t>
            </w:r>
            <w:r w:rsidR="00CE6E98">
              <w:t>hreat and error management detailing processes that can be used to identify and mitigate or</w:t>
            </w:r>
          </w:p>
          <w:p w:rsidR="00CE6E98" w:rsidRDefault="00CE6E98" w:rsidP="00CE6E98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control threats and errors [NTS2(b)]</w:t>
            </w:r>
          </w:p>
          <w:p w:rsidR="00CE6E98" w:rsidRDefault="00F2062E" w:rsidP="00CE6E98">
            <w:pPr>
              <w:pStyle w:val="tablebullet1"/>
              <w:rPr>
                <w:rFonts w:eastAsia="Arial" w:cs="Arial"/>
                <w:szCs w:val="20"/>
              </w:rPr>
            </w:pPr>
            <w:r>
              <w:t>U</w:t>
            </w:r>
            <w:r w:rsidR="00CE6E98">
              <w:t>ndesired aircraft states, including prevention, identifying and</w:t>
            </w:r>
            <w:r w:rsidR="00CE6E98">
              <w:rPr>
                <w:spacing w:val="-14"/>
              </w:rPr>
              <w:t xml:space="preserve"> </w:t>
            </w:r>
            <w:r w:rsidR="00CE6E98">
              <w:t>controlling [NTS2(e)]</w:t>
            </w:r>
          </w:p>
          <w:p w:rsidR="00E33F2A" w:rsidRPr="008E7C43" w:rsidRDefault="00F2062E" w:rsidP="00CE6E98">
            <w:pPr>
              <w:pStyle w:val="tablebullet1"/>
              <w:rPr>
                <w:rFonts w:eastAsia="Arial" w:cs="Arial"/>
                <w:szCs w:val="20"/>
              </w:rPr>
            </w:pPr>
            <w:r>
              <w:t>H</w:t>
            </w:r>
            <w:r w:rsidR="00CE6E98">
              <w:t>ow an undesired aircraft state can develop from an unmanaged threat or</w:t>
            </w:r>
            <w:r w:rsidR="00CE6E98">
              <w:rPr>
                <w:spacing w:val="-24"/>
              </w:rPr>
              <w:t xml:space="preserve"> </w:t>
            </w:r>
            <w:r w:rsidR="00CE6E98">
              <w:t>error [NTS2(f)]</w:t>
            </w:r>
          </w:p>
          <w:p w:rsidR="00F2062E" w:rsidRPr="00F2062E" w:rsidRDefault="00F2062E" w:rsidP="00F2062E">
            <w:pPr>
              <w:pStyle w:val="tablebullet1"/>
              <w:rPr>
                <w:rFonts w:eastAsia="Arial" w:cs="Arial"/>
                <w:szCs w:val="20"/>
              </w:rPr>
            </w:pPr>
            <w:r>
              <w:t xml:space="preserve">Instrument scan including rate </w:t>
            </w:r>
            <w:r w:rsidR="008E7C43">
              <w:t>of descent on approach</w:t>
            </w:r>
          </w:p>
          <w:p w:rsidR="008E7C43" w:rsidRPr="00046CCD" w:rsidRDefault="008E7C43" w:rsidP="00F2062E">
            <w:pPr>
              <w:pStyle w:val="tablebullet1"/>
              <w:rPr>
                <w:rFonts w:eastAsia="Arial" w:cs="Arial"/>
                <w:szCs w:val="20"/>
              </w:rPr>
            </w:pPr>
            <w:r>
              <w:t>Awareness</w:t>
            </w:r>
            <w:r w:rsidR="00F2062E">
              <w:t xml:space="preserve"> </w:t>
            </w:r>
            <w:r>
              <w:t>of power limitations on take off</w:t>
            </w:r>
          </w:p>
          <w:p w:rsidR="00046CCD" w:rsidRDefault="00046CCD" w:rsidP="00046CCD">
            <w:pPr>
              <w:pStyle w:val="tablebullet1"/>
            </w:pPr>
            <w:r>
              <w:t xml:space="preserve">Hand over/take over technique </w:t>
            </w:r>
          </w:p>
          <w:p w:rsidR="00046CCD" w:rsidRPr="00F2062E" w:rsidRDefault="00046CCD" w:rsidP="00046CCD">
            <w:pPr>
              <w:pStyle w:val="tablebullet1"/>
              <w:rPr>
                <w:rFonts w:eastAsia="Arial" w:cs="Arial"/>
                <w:szCs w:val="20"/>
              </w:rPr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CE6E98" w:rsidRDefault="00CE6E98" w:rsidP="00CE6E98">
            <w:pPr>
              <w:pStyle w:val="tablebullet1"/>
            </w:pPr>
            <w:r>
              <w:t>Review flight sequences, what to expect, see &amp; do</w:t>
            </w:r>
          </w:p>
          <w:p w:rsidR="00CE6E98" w:rsidRDefault="00CE6E98" w:rsidP="00CE6E98">
            <w:pPr>
              <w:pStyle w:val="tablebullet1"/>
            </w:pPr>
            <w:r>
              <w:t>Check essential knowledge</w:t>
            </w:r>
          </w:p>
          <w:p w:rsidR="00CE6E98" w:rsidRDefault="00CE6E98" w:rsidP="00CE6E98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CE6E98" w:rsidP="00CE6E98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3107CA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C6E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F2062E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F2062E" w:rsidRDefault="00F2062E" w:rsidP="00F2062E">
            <w:pPr>
              <w:pStyle w:val="Element"/>
              <w:numPr>
                <w:ilvl w:val="0"/>
                <w:numId w:val="6"/>
              </w:numPr>
            </w:pPr>
            <w:r>
              <w:t>C1.2</w:t>
            </w:r>
          </w:p>
        </w:tc>
        <w:tc>
          <w:tcPr>
            <w:tcW w:w="8348" w:type="dxa"/>
            <w:tcBorders>
              <w:left w:val="nil"/>
            </w:tcBorders>
          </w:tcPr>
          <w:p w:rsidR="00F2062E" w:rsidRPr="00946041" w:rsidRDefault="00F2062E" w:rsidP="00F2062E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2062E" w:rsidRPr="00C05437" w:rsidRDefault="00F2062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2062E" w:rsidRPr="00C05437" w:rsidRDefault="00F2062E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apply the phonetic alphabet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transmit numbers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make appropriate transmissions using standard aviation phraseology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FC21C6" w:rsidRDefault="00FC21C6" w:rsidP="000051B4">
            <w:pPr>
              <w:pStyle w:val="Performancecriteriatext"/>
            </w:pPr>
            <w:r>
              <w:t>use plain English effectively when standard phraseology is inadequate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FC21C6" w:rsidRPr="00C05437" w:rsidTr="00AC6E5E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FC21C6" w:rsidRPr="005316CD" w:rsidRDefault="00FC21C6" w:rsidP="005B77A5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FC21C6" w:rsidRDefault="00FC21C6" w:rsidP="000051B4">
            <w:pPr>
              <w:pStyle w:val="Performancecriteriatext"/>
            </w:pPr>
            <w:r>
              <w:t>receive appropriate responses to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C21C6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C21C6" w:rsidRPr="00C05437" w:rsidRDefault="00FC21C6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33B6B" w:rsidRDefault="00A33B6B" w:rsidP="00760DE6">
            <w:pPr>
              <w:pStyle w:val="Element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348" w:type="dxa"/>
            <w:tcBorders>
              <w:left w:val="nil"/>
            </w:tcBorders>
          </w:tcPr>
          <w:p w:rsidR="00A33B6B" w:rsidRPr="00946041" w:rsidRDefault="00A33B6B" w:rsidP="00A33B6B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A33B6B" w:rsidRPr="00946041" w:rsidRDefault="00A33B6B" w:rsidP="00A33B6B">
            <w:pPr>
              <w:pStyle w:val="List-element"/>
              <w:numPr>
                <w:ilvl w:val="0"/>
                <w:numId w:val="0"/>
              </w:numPr>
            </w:pPr>
            <w:r>
              <w:t>(a)</w:t>
            </w:r>
          </w:p>
        </w:tc>
        <w:tc>
          <w:tcPr>
            <w:tcW w:w="8348" w:type="dxa"/>
          </w:tcPr>
          <w:p w:rsidR="00A33B6B" w:rsidRDefault="00A33B6B" w:rsidP="00A33B6B">
            <w:pPr>
              <w:pStyle w:val="Performancecriteriatext"/>
            </w:pPr>
            <w: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AC6E5E">
        <w:trPr>
          <w:trHeight w:val="227"/>
        </w:trPr>
        <w:tc>
          <w:tcPr>
            <w:tcW w:w="725" w:type="dxa"/>
          </w:tcPr>
          <w:p w:rsidR="002404EE" w:rsidRPr="00946041" w:rsidRDefault="00A33B6B" w:rsidP="002404EE">
            <w:pPr>
              <w:pStyle w:val="List-element"/>
              <w:numPr>
                <w:ilvl w:val="0"/>
                <w:numId w:val="0"/>
              </w:numPr>
            </w:pPr>
            <w:r>
              <w:t>(</w:t>
            </w:r>
            <w:r w:rsidR="002404EE">
              <w:t>b)</w:t>
            </w:r>
          </w:p>
        </w:tc>
        <w:tc>
          <w:tcPr>
            <w:tcW w:w="8348" w:type="dxa"/>
          </w:tcPr>
          <w:p w:rsidR="00A33B6B" w:rsidRDefault="00A33B6B" w:rsidP="000051B4">
            <w:pPr>
              <w:pStyle w:val="Performancecriteriatext"/>
            </w:pPr>
            <w: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A33B6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A33B6B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A33B6B" w:rsidRPr="005316CD" w:rsidRDefault="00A33B6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A33B6B" w:rsidRPr="00946041" w:rsidRDefault="00422017" w:rsidP="00422017">
            <w:pPr>
              <w:pStyle w:val="List-subelement"/>
              <w:numPr>
                <w:ilvl w:val="0"/>
                <w:numId w:val="0"/>
              </w:numPr>
            </w:pPr>
            <w:r>
              <w:t xml:space="preserve">(ii) </w:t>
            </w:r>
            <w:r w:rsidR="00A33B6B" w:rsidRPr="00EA1286">
              <w:t>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33B6B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33B6B" w:rsidRPr="00C05437" w:rsidRDefault="00A33B6B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01540C" w:rsidRDefault="000051B4" w:rsidP="000051B4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0051B4" w:rsidRDefault="000051B4" w:rsidP="000051B4">
            <w:pPr>
              <w:pStyle w:val="Element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  <w:tcBorders>
              <w:left w:val="nil"/>
            </w:tcBorders>
          </w:tcPr>
          <w:p w:rsidR="000051B4" w:rsidRPr="00946041" w:rsidRDefault="000051B4" w:rsidP="000051B4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AC6E5E">
        <w:trPr>
          <w:trHeight w:val="227"/>
        </w:trPr>
        <w:tc>
          <w:tcPr>
            <w:tcW w:w="725" w:type="dxa"/>
          </w:tcPr>
          <w:p w:rsidR="000051B4" w:rsidRPr="00946041" w:rsidRDefault="000051B4" w:rsidP="000051B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0051B4" w:rsidRPr="00C05437" w:rsidTr="00760DE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0051B4" w:rsidRPr="00946041" w:rsidRDefault="000051B4" w:rsidP="000051B4">
            <w:pPr>
              <w:pStyle w:val="List-element"/>
              <w:numPr>
                <w:ilvl w:val="0"/>
                <w:numId w:val="0"/>
              </w:numPr>
            </w:pPr>
            <w:r>
              <w:t>(k)</w:t>
            </w:r>
          </w:p>
        </w:tc>
        <w:tc>
          <w:tcPr>
            <w:tcW w:w="8348" w:type="dxa"/>
            <w:tcBorders>
              <w:bottom w:val="single" w:sz="4" w:space="0" w:color="auto"/>
            </w:tcBorders>
          </w:tcPr>
          <w:p w:rsidR="000051B4" w:rsidRPr="00337FDD" w:rsidRDefault="000051B4" w:rsidP="006C457D">
            <w:pPr>
              <w:pStyle w:val="Performancecriteriatext"/>
            </w:pPr>
            <w:r w:rsidRPr="00337FDD"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51B4" w:rsidRPr="00C05437" w:rsidRDefault="000051B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051B4" w:rsidRPr="00C05437" w:rsidRDefault="000051B4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760DE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C6E5E" w:rsidRDefault="00AC6E5E" w:rsidP="00AC6E5E">
            <w:pPr>
              <w:pStyle w:val="Element"/>
              <w:numPr>
                <w:ilvl w:val="0"/>
                <w:numId w:val="6"/>
              </w:numPr>
            </w:pPr>
            <w:r>
              <w:t>NTS1.1</w:t>
            </w:r>
          </w:p>
        </w:tc>
        <w:tc>
          <w:tcPr>
            <w:tcW w:w="8348" w:type="dxa"/>
            <w:tcBorders>
              <w:left w:val="nil"/>
            </w:tcBorders>
          </w:tcPr>
          <w:p w:rsidR="00AC6E5E" w:rsidRPr="00946041" w:rsidRDefault="00AC6E5E" w:rsidP="00AC6E5E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6301CE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D14578" w:rsidRDefault="00AC6E5E" w:rsidP="00760DE6">
            <w:pPr>
              <w:pStyle w:val="Performancecriteriatext"/>
            </w:pPr>
            <w:r w:rsidRPr="00D14578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6301CE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D14578" w:rsidRDefault="00AC6E5E" w:rsidP="00760DE6">
            <w:pPr>
              <w:pStyle w:val="Performancecriteriatext"/>
            </w:pPr>
            <w:r w:rsidRPr="00D14578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7E568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AC6E5E" w:rsidRPr="006301CE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D14578" w:rsidRDefault="00AC6E5E" w:rsidP="00760DE6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7E568F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AC6E5E" w:rsidRPr="00F42ECF" w:rsidRDefault="00AC6E5E" w:rsidP="00AC6E5E">
            <w:pPr>
              <w:pStyle w:val="Element"/>
              <w:numPr>
                <w:ilvl w:val="0"/>
                <w:numId w:val="6"/>
              </w:numPr>
            </w:pPr>
            <w:r w:rsidRPr="00F42ECF">
              <w:t>H3.3</w:t>
            </w:r>
          </w:p>
        </w:tc>
        <w:tc>
          <w:tcPr>
            <w:tcW w:w="8348" w:type="dxa"/>
            <w:tcBorders>
              <w:left w:val="nil"/>
            </w:tcBorders>
          </w:tcPr>
          <w:p w:rsidR="00AC6E5E" w:rsidRPr="00F42ECF" w:rsidRDefault="00AC6E5E" w:rsidP="00AC6E5E">
            <w:pPr>
              <w:pStyle w:val="Heading3"/>
              <w:outlineLvl w:val="2"/>
            </w:pPr>
            <w:r w:rsidRPr="00F12FDF">
              <w:t>Perform air transiting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AC6E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helicopter is manoeuvred, while allowing for prevailing conditions, over a prescribed track within the aerodrome boundaries that is clear of obstacles at a height not above 100ft AGL at airspeeds greater than speeds used for air taxiing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throug</w:t>
            </w:r>
            <w:r>
              <w:t>hout air transit manoeuvres, helicopter performance is considered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awareness of adverse effects of rotor downwash on surrounding aircraft, people, objects and environment</w:t>
            </w:r>
            <w:r>
              <w:t xml:space="preserve"> is demonstrated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manipulate instruments, switches or devices, when safe to do so, including when the release of the collective pitch leve</w:t>
            </w:r>
            <w:r>
              <w:t>r</w:t>
            </w:r>
            <w:r w:rsidRPr="00F12FDF">
              <w:t xml:space="preserve"> is required, while maintaining height, heading, speed, and attitude and not exceeding RPM or power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adjust air transit ground speed to suit helicopter type, traffic conditions, congestion, and maintenance of control and to avoid collision with obstacles or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 w:rsidRPr="00F12FDF">
              <w:t>lookout is maintained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  <w:tr w:rsidR="00AC6E5E" w:rsidRPr="00C05437" w:rsidTr="00AC6E5E">
        <w:trPr>
          <w:trHeight w:val="227"/>
        </w:trPr>
        <w:tc>
          <w:tcPr>
            <w:tcW w:w="725" w:type="dxa"/>
          </w:tcPr>
          <w:p w:rsidR="00AC6E5E" w:rsidRPr="00F42ECF" w:rsidRDefault="00AC6E5E" w:rsidP="00AC6E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AC6E5E" w:rsidRPr="00F42ECF" w:rsidRDefault="00AC6E5E" w:rsidP="00760DE6">
            <w:pPr>
              <w:pStyle w:val="Performancecriteriatext"/>
            </w:pPr>
            <w:r>
              <w:t xml:space="preserve">appropriate risk management is applied during air transit manoeuvres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6E5E" w:rsidRPr="00C05437" w:rsidRDefault="00760D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C6E5E" w:rsidRPr="00C05437" w:rsidRDefault="00AC6E5E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60DE6" w:rsidRDefault="00760DE6" w:rsidP="006E6B86"/>
    <w:p w:rsidR="00760DE6" w:rsidRPr="006E6B86" w:rsidRDefault="00760DE6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3107CA" w:rsidRDefault="003107CA" w:rsidP="006E6B86"/>
    <w:p w:rsidR="003107CA" w:rsidRDefault="003107CA" w:rsidP="003107CA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3107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bookmarkStart w:id="0" w:name="_GoBack"/>
            <w:bookmarkEnd w:id="0"/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3107CA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3107CA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5E" w:rsidRDefault="00AC6E5E" w:rsidP="00061457">
      <w:r>
        <w:separator/>
      </w:r>
    </w:p>
  </w:endnote>
  <w:endnote w:type="continuationSeparator" w:id="0">
    <w:p w:rsidR="00AC6E5E" w:rsidRDefault="00AC6E5E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Default="00972601">
    <w:pPr>
      <w:pStyle w:val="Footer"/>
    </w:pPr>
    <w:proofErr w:type="gramStart"/>
    <w:r>
      <w:t>C</w:t>
    </w:r>
    <w:r w:rsidR="00AC6E5E">
      <w:t>PL(</w:t>
    </w:r>
    <w:proofErr w:type="gramEnd"/>
    <w:r w:rsidR="00AC6E5E">
      <w:t xml:space="preserve">H) 9  </w:t>
    </w:r>
    <w:r w:rsidR="003107CA">
      <w:fldChar w:fldCharType="begin"/>
    </w:r>
    <w:r w:rsidR="003107CA">
      <w:instrText xml:space="preserve"> DOCPROPERTY  Version  \* MERGEFORMAT </w:instrText>
    </w:r>
    <w:r w:rsidR="003107CA">
      <w:fldChar w:fldCharType="separate"/>
    </w:r>
    <w:r w:rsidR="003107CA">
      <w:t>v1.1</w:t>
    </w:r>
    <w:r w:rsidR="003107CA">
      <w:fldChar w:fldCharType="end"/>
    </w:r>
    <w:r w:rsidR="00AC6E5E">
      <w:tab/>
    </w:r>
    <w:r w:rsidR="00AC6E5E" w:rsidRPr="00200FF0">
      <w:fldChar w:fldCharType="begin" w:fldLock="1"/>
    </w:r>
    <w:r w:rsidR="00AC6E5E" w:rsidRPr="00200FF0">
      <w:instrText xml:space="preserve"> DATE  \@ "MMMM yyyy" </w:instrText>
    </w:r>
    <w:r w:rsidR="00AC6E5E" w:rsidRPr="00200FF0">
      <w:fldChar w:fldCharType="separate"/>
    </w:r>
    <w:r w:rsidR="003107CA">
      <w:rPr>
        <w:noProof/>
      </w:rPr>
      <w:t>October 2016</w:t>
    </w:r>
    <w:r w:rsidR="00AC6E5E" w:rsidRPr="00200FF0">
      <w:fldChar w:fldCharType="end"/>
    </w:r>
    <w:r w:rsidR="00AC6E5E">
      <w:tab/>
      <w:t xml:space="preserve">Page </w:t>
    </w:r>
    <w:r w:rsidR="00AC6E5E">
      <w:fldChar w:fldCharType="begin"/>
    </w:r>
    <w:r w:rsidR="00AC6E5E">
      <w:instrText xml:space="preserve"> PAGE </w:instrText>
    </w:r>
    <w:r w:rsidR="00AC6E5E">
      <w:fldChar w:fldCharType="separate"/>
    </w:r>
    <w:r w:rsidR="003107CA">
      <w:rPr>
        <w:noProof/>
      </w:rPr>
      <w:t>2</w:t>
    </w:r>
    <w:r w:rsidR="00AC6E5E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Pr="00AB198B" w:rsidRDefault="00972601" w:rsidP="00682F97">
    <w:pPr>
      <w:pStyle w:val="Footer"/>
      <w:tabs>
        <w:tab w:val="left" w:pos="8010"/>
      </w:tabs>
    </w:pPr>
    <w:proofErr w:type="gramStart"/>
    <w:r>
      <w:t>C</w:t>
    </w:r>
    <w:r w:rsidR="00AC6E5E">
      <w:t>PL(</w:t>
    </w:r>
    <w:proofErr w:type="gramEnd"/>
    <w:r w:rsidR="00AC6E5E">
      <w:t xml:space="preserve">H) 9  </w:t>
    </w:r>
    <w:r w:rsidR="003107CA">
      <w:fldChar w:fldCharType="begin"/>
    </w:r>
    <w:r w:rsidR="003107CA">
      <w:instrText xml:space="preserve"> DOCPROPERTY  Version  \* MERGEFORMAT </w:instrText>
    </w:r>
    <w:r w:rsidR="003107CA">
      <w:fldChar w:fldCharType="separate"/>
    </w:r>
    <w:r w:rsidR="003107CA">
      <w:t>v1.1</w:t>
    </w:r>
    <w:r w:rsidR="003107CA">
      <w:fldChar w:fldCharType="end"/>
    </w:r>
    <w:r w:rsidR="00AC6E5E">
      <w:tab/>
    </w:r>
    <w:r w:rsidR="00AC6E5E" w:rsidRPr="00200FF0">
      <w:fldChar w:fldCharType="begin" w:fldLock="1"/>
    </w:r>
    <w:r w:rsidR="00AC6E5E" w:rsidRPr="00200FF0">
      <w:instrText xml:space="preserve"> DATE  \@ "MMMM yyyy" </w:instrText>
    </w:r>
    <w:r w:rsidR="00AC6E5E" w:rsidRPr="00200FF0">
      <w:fldChar w:fldCharType="separate"/>
    </w:r>
    <w:r w:rsidR="003107CA">
      <w:rPr>
        <w:noProof/>
      </w:rPr>
      <w:t>October 2016</w:t>
    </w:r>
    <w:r w:rsidR="00AC6E5E" w:rsidRPr="00200FF0">
      <w:fldChar w:fldCharType="end"/>
    </w:r>
    <w:r w:rsidR="00AC6E5E">
      <w:tab/>
    </w:r>
    <w:r w:rsidR="00AC6E5E">
      <w:tab/>
      <w:t xml:space="preserve">Page </w:t>
    </w:r>
    <w:r w:rsidR="00AC6E5E">
      <w:fldChar w:fldCharType="begin"/>
    </w:r>
    <w:r w:rsidR="00AC6E5E">
      <w:instrText xml:space="preserve"> PAGE </w:instrText>
    </w:r>
    <w:r w:rsidR="00AC6E5E">
      <w:fldChar w:fldCharType="separate"/>
    </w:r>
    <w:r w:rsidR="003107CA">
      <w:rPr>
        <w:noProof/>
      </w:rPr>
      <w:t>1</w:t>
    </w:r>
    <w:r w:rsidR="00AC6E5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5E" w:rsidRDefault="00AC6E5E" w:rsidP="00061457">
      <w:r>
        <w:separator/>
      </w:r>
    </w:p>
  </w:footnote>
  <w:footnote w:type="continuationSeparator" w:id="0">
    <w:p w:rsidR="00AC6E5E" w:rsidRDefault="00AC6E5E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Pr="006E6B86" w:rsidRDefault="00AC6E5E" w:rsidP="00146451">
    <w:pPr>
      <w:pStyle w:val="Syllabuslessonplan"/>
    </w:pPr>
    <w:r w:rsidRPr="006E6B86">
      <w:t>LESSON PLAN AND TRAINING record</w:t>
    </w:r>
  </w:p>
  <w:p w:rsidR="00AC6E5E" w:rsidRPr="006E6B86" w:rsidRDefault="00972601" w:rsidP="00146451">
    <w:pPr>
      <w:pStyle w:val="Syllabuslessonplan"/>
    </w:pPr>
    <w:proofErr w:type="gramStart"/>
    <w:r>
      <w:t>C</w:t>
    </w:r>
    <w:r w:rsidR="00AC6E5E">
      <w:t>PL(</w:t>
    </w:r>
    <w:proofErr w:type="gramEnd"/>
    <w:r w:rsidR="00AC6E5E">
      <w:t>H)  9</w:t>
    </w:r>
    <w:r w:rsidR="00AC6E5E" w:rsidRPr="006E6B86">
      <w:t xml:space="preserve">: </w:t>
    </w:r>
    <w:r w:rsidR="00AC6E5E">
      <w:t>Maximum Performance Take Offs and steep approaches</w:t>
    </w:r>
  </w:p>
  <w:p w:rsidR="00AC6E5E" w:rsidRPr="00324A25" w:rsidRDefault="00AC6E5E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E5E" w:rsidRDefault="00972601" w:rsidP="0021700B">
    <w:pPr>
      <w:pStyle w:val="TrainingCoursetitle"/>
    </w:pPr>
    <w:r>
      <w:t>Commercial</w:t>
    </w:r>
    <w:r w:rsidR="00AC6E5E">
      <w:t xml:space="preserve"> Pilot Licence – Helicopter Category Rating</w:t>
    </w:r>
  </w:p>
  <w:p w:rsidR="00AC6E5E" w:rsidRPr="006E6B86" w:rsidRDefault="00AC6E5E" w:rsidP="006E6B86"/>
  <w:p w:rsidR="00AC6E5E" w:rsidRPr="006E6B86" w:rsidRDefault="00AC6E5E" w:rsidP="00161953">
    <w:pPr>
      <w:pStyle w:val="Syllabuslessonplan"/>
    </w:pPr>
    <w:r w:rsidRPr="006E6B86">
      <w:t>LESSON PLAN AND TRAINING record</w:t>
    </w:r>
  </w:p>
  <w:p w:rsidR="00AC6E5E" w:rsidRPr="006E6B86" w:rsidRDefault="00972601" w:rsidP="00161953">
    <w:pPr>
      <w:pStyle w:val="Syllabuslessonplan"/>
    </w:pPr>
    <w:proofErr w:type="gramStart"/>
    <w:r>
      <w:t>C</w:t>
    </w:r>
    <w:r w:rsidR="00AC6E5E">
      <w:t>PL(</w:t>
    </w:r>
    <w:proofErr w:type="gramEnd"/>
    <w:r w:rsidR="00AC6E5E">
      <w:t>H)  9</w:t>
    </w:r>
    <w:r w:rsidR="00AC6E5E" w:rsidRPr="006E6B86">
      <w:t xml:space="preserve">: </w:t>
    </w:r>
    <w:r w:rsidR="00AC6E5E">
      <w:t>Maximum Performance Take Offs and steep approaches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C06C4"/>
    <w:multiLevelType w:val="hybridMultilevel"/>
    <w:tmpl w:val="8376EF8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644F8"/>
    <w:multiLevelType w:val="hybridMultilevel"/>
    <w:tmpl w:val="5770C99C"/>
    <w:lvl w:ilvl="0" w:tplc="14A8B690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43B84D72">
      <w:start w:val="1"/>
      <w:numFmt w:val="lowerRoman"/>
      <w:lvlText w:val="(%2)"/>
      <w:lvlJc w:val="left"/>
      <w:pPr>
        <w:ind w:left="1727" w:hanging="456"/>
      </w:pPr>
      <w:rPr>
        <w:rFonts w:ascii="Arial" w:eastAsia="Arial" w:hAnsi="Arial" w:hint="default"/>
        <w:w w:val="99"/>
        <w:sz w:val="20"/>
        <w:szCs w:val="20"/>
      </w:rPr>
    </w:lvl>
    <w:lvl w:ilvl="2" w:tplc="882CAA9E">
      <w:start w:val="1"/>
      <w:numFmt w:val="bullet"/>
      <w:lvlText w:val="•"/>
      <w:lvlJc w:val="left"/>
      <w:pPr>
        <w:ind w:left="2600" w:hanging="456"/>
      </w:pPr>
      <w:rPr>
        <w:rFonts w:hint="default"/>
      </w:rPr>
    </w:lvl>
    <w:lvl w:ilvl="3" w:tplc="21EEF02A">
      <w:start w:val="1"/>
      <w:numFmt w:val="bullet"/>
      <w:lvlText w:val="•"/>
      <w:lvlJc w:val="left"/>
      <w:pPr>
        <w:ind w:left="3481" w:hanging="456"/>
      </w:pPr>
      <w:rPr>
        <w:rFonts w:hint="default"/>
      </w:rPr>
    </w:lvl>
    <w:lvl w:ilvl="4" w:tplc="38E8A64A">
      <w:start w:val="1"/>
      <w:numFmt w:val="bullet"/>
      <w:lvlText w:val="•"/>
      <w:lvlJc w:val="left"/>
      <w:pPr>
        <w:ind w:left="4362" w:hanging="456"/>
      </w:pPr>
      <w:rPr>
        <w:rFonts w:hint="default"/>
      </w:rPr>
    </w:lvl>
    <w:lvl w:ilvl="5" w:tplc="E4622E76">
      <w:start w:val="1"/>
      <w:numFmt w:val="bullet"/>
      <w:lvlText w:val="•"/>
      <w:lvlJc w:val="left"/>
      <w:pPr>
        <w:ind w:left="5242" w:hanging="456"/>
      </w:pPr>
      <w:rPr>
        <w:rFonts w:hint="default"/>
      </w:rPr>
    </w:lvl>
    <w:lvl w:ilvl="6" w:tplc="CBB43C7E">
      <w:start w:val="1"/>
      <w:numFmt w:val="bullet"/>
      <w:lvlText w:val="•"/>
      <w:lvlJc w:val="left"/>
      <w:pPr>
        <w:ind w:left="6123" w:hanging="456"/>
      </w:pPr>
      <w:rPr>
        <w:rFonts w:hint="default"/>
      </w:rPr>
    </w:lvl>
    <w:lvl w:ilvl="7" w:tplc="3836F2B0">
      <w:start w:val="1"/>
      <w:numFmt w:val="bullet"/>
      <w:lvlText w:val="•"/>
      <w:lvlJc w:val="left"/>
      <w:pPr>
        <w:ind w:left="7004" w:hanging="456"/>
      </w:pPr>
      <w:rPr>
        <w:rFonts w:hint="default"/>
      </w:rPr>
    </w:lvl>
    <w:lvl w:ilvl="8" w:tplc="F404033E">
      <w:start w:val="1"/>
      <w:numFmt w:val="bullet"/>
      <w:lvlText w:val="•"/>
      <w:lvlJc w:val="left"/>
      <w:pPr>
        <w:ind w:left="7884" w:hanging="456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51B4"/>
    <w:rsid w:val="00032FA0"/>
    <w:rsid w:val="00046CCD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3C5A"/>
    <w:rsid w:val="00103BEC"/>
    <w:rsid w:val="00121F4A"/>
    <w:rsid w:val="00123910"/>
    <w:rsid w:val="00146451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04EE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07CA"/>
    <w:rsid w:val="00315BD8"/>
    <w:rsid w:val="00324A25"/>
    <w:rsid w:val="003436D5"/>
    <w:rsid w:val="00350FFA"/>
    <w:rsid w:val="003528AF"/>
    <w:rsid w:val="00374E67"/>
    <w:rsid w:val="003756A0"/>
    <w:rsid w:val="00380EFF"/>
    <w:rsid w:val="00383E59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047A"/>
    <w:rsid w:val="003F2DAA"/>
    <w:rsid w:val="003F5DFB"/>
    <w:rsid w:val="00401E05"/>
    <w:rsid w:val="00405B22"/>
    <w:rsid w:val="00422017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67DBF"/>
    <w:rsid w:val="00672934"/>
    <w:rsid w:val="00682F97"/>
    <w:rsid w:val="00692468"/>
    <w:rsid w:val="006A21F2"/>
    <w:rsid w:val="006C3994"/>
    <w:rsid w:val="006C457D"/>
    <w:rsid w:val="006D18B2"/>
    <w:rsid w:val="006E6B86"/>
    <w:rsid w:val="006F162F"/>
    <w:rsid w:val="00705E62"/>
    <w:rsid w:val="00706119"/>
    <w:rsid w:val="00711982"/>
    <w:rsid w:val="00725AA5"/>
    <w:rsid w:val="007333CA"/>
    <w:rsid w:val="00760DE6"/>
    <w:rsid w:val="00763714"/>
    <w:rsid w:val="00790FAE"/>
    <w:rsid w:val="007A3AE7"/>
    <w:rsid w:val="007A6430"/>
    <w:rsid w:val="007C3F63"/>
    <w:rsid w:val="007D67A5"/>
    <w:rsid w:val="007E568F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E7C43"/>
    <w:rsid w:val="009010A3"/>
    <w:rsid w:val="00904F5C"/>
    <w:rsid w:val="00930032"/>
    <w:rsid w:val="00937EA8"/>
    <w:rsid w:val="009507BD"/>
    <w:rsid w:val="009535A8"/>
    <w:rsid w:val="00954DF4"/>
    <w:rsid w:val="00955CC0"/>
    <w:rsid w:val="00972601"/>
    <w:rsid w:val="00981612"/>
    <w:rsid w:val="009863ED"/>
    <w:rsid w:val="00991BC7"/>
    <w:rsid w:val="009B3C00"/>
    <w:rsid w:val="009E6D94"/>
    <w:rsid w:val="009F30D5"/>
    <w:rsid w:val="009F7265"/>
    <w:rsid w:val="00A23028"/>
    <w:rsid w:val="00A24D8B"/>
    <w:rsid w:val="00A33B6B"/>
    <w:rsid w:val="00A34457"/>
    <w:rsid w:val="00A406E5"/>
    <w:rsid w:val="00A57BFC"/>
    <w:rsid w:val="00A87AF1"/>
    <w:rsid w:val="00AB198B"/>
    <w:rsid w:val="00AB5E25"/>
    <w:rsid w:val="00AC5A6B"/>
    <w:rsid w:val="00AC6E5E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E6E98"/>
    <w:rsid w:val="00CE719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2062E"/>
    <w:rsid w:val="00F351EF"/>
    <w:rsid w:val="00F476F4"/>
    <w:rsid w:val="00F6601C"/>
    <w:rsid w:val="00F84AC0"/>
    <w:rsid w:val="00F871EE"/>
    <w:rsid w:val="00F92F28"/>
    <w:rsid w:val="00F971D9"/>
    <w:rsid w:val="00FB352C"/>
    <w:rsid w:val="00FC21C6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F2062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FB2A3-2B27-4A13-8B22-EE5FC0A0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61</cp:revision>
  <cp:lastPrinted>2016-04-20T06:43:00Z</cp:lastPrinted>
  <dcterms:created xsi:type="dcterms:W3CDTF">2016-01-19T06:40:00Z</dcterms:created>
  <dcterms:modified xsi:type="dcterms:W3CDTF">2016-10-11T01:19:00Z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